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BF" w:rsidRDefault="00394EBF" w:rsidP="00394EBF">
      <w:pPr>
        <w:tabs>
          <w:tab w:val="left" w:pos="7701"/>
        </w:tabs>
        <w:spacing w:before="120" w:after="0" w:line="240" w:lineRule="auto"/>
        <w:jc w:val="center"/>
        <w:rPr>
          <w:rFonts w:ascii="Calibri" w:eastAsia="Calibri" w:hAnsi="Calibri" w:cs="Times New Roman"/>
          <w:b/>
          <w:caps/>
          <w:color w:val="0077C0"/>
          <w:sz w:val="36"/>
          <w:lang w:val="en-US"/>
        </w:rPr>
      </w:pPr>
      <w:r w:rsidRPr="00394EBF">
        <w:rPr>
          <w:rFonts w:ascii="Calibri" w:eastAsia="Calibri" w:hAnsi="Calibri" w:cs="Times New Roman"/>
          <w:b/>
          <w:caps/>
          <w:noProof/>
          <w:color w:val="0077C0"/>
          <w:sz w:val="36"/>
          <w:lang w:eastAsia="en-GB"/>
        </w:rPr>
        <w:drawing>
          <wp:anchor distT="0" distB="0" distL="114300" distR="114300" simplePos="0" relativeHeight="251659264" behindDoc="0" locked="0" layoutInCell="1" allowOverlap="1" wp14:anchorId="4FC8A147" wp14:editId="5EE0056C">
            <wp:simplePos x="0" y="0"/>
            <wp:positionH relativeFrom="column">
              <wp:posOffset>4359663</wp:posOffset>
            </wp:positionH>
            <wp:positionV relativeFrom="paragraph">
              <wp:posOffset>-299559</wp:posOffset>
            </wp:positionV>
            <wp:extent cx="1400175" cy="13430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7"/>
                    <a:stretch>
                      <a:fillRect/>
                    </a:stretch>
                  </pic:blipFill>
                  <pic:spPr>
                    <a:xfrm>
                      <a:off x="0" y="0"/>
                      <a:ext cx="1400175" cy="1343025"/>
                    </a:xfrm>
                    <a:prstGeom prst="rect">
                      <a:avLst/>
                    </a:prstGeom>
                  </pic:spPr>
                </pic:pic>
              </a:graphicData>
            </a:graphic>
            <wp14:sizeRelH relativeFrom="margin">
              <wp14:pctWidth>0</wp14:pctWidth>
            </wp14:sizeRelH>
            <wp14:sizeRelV relativeFrom="margin">
              <wp14:pctHeight>0</wp14:pctHeight>
            </wp14:sizeRelV>
          </wp:anchor>
        </w:drawing>
      </w:r>
      <w:r w:rsidRPr="00394EBF">
        <w:rPr>
          <w:rFonts w:ascii="Calibri" w:eastAsia="Calibri" w:hAnsi="Calibri" w:cs="Times New Roman"/>
          <w:b/>
          <w:caps/>
          <w:noProof/>
          <w:color w:val="0077C0"/>
          <w:sz w:val="36"/>
          <w:lang w:eastAsia="en-GB"/>
        </w:rPr>
        <w:drawing>
          <wp:anchor distT="0" distB="0" distL="114300" distR="114300" simplePos="0" relativeHeight="251660288" behindDoc="1" locked="0" layoutInCell="1" allowOverlap="1" wp14:anchorId="60338053" wp14:editId="32CECDF7">
            <wp:simplePos x="0" y="0"/>
            <wp:positionH relativeFrom="column">
              <wp:posOffset>-239054</wp:posOffset>
            </wp:positionH>
            <wp:positionV relativeFrom="paragraph">
              <wp:posOffset>492</wp:posOffset>
            </wp:positionV>
            <wp:extent cx="2900045" cy="573405"/>
            <wp:effectExtent l="0" t="0" r="0" b="0"/>
            <wp:wrapTight wrapText="bothSides">
              <wp:wrapPolygon edited="0">
                <wp:start x="142" y="0"/>
                <wp:lineTo x="0" y="2153"/>
                <wp:lineTo x="0" y="17223"/>
                <wp:lineTo x="1277" y="20811"/>
                <wp:lineTo x="2412" y="20811"/>
                <wp:lineTo x="14614" y="20811"/>
                <wp:lineTo x="20857" y="17940"/>
                <wp:lineTo x="20716" y="11482"/>
                <wp:lineTo x="21425" y="7176"/>
                <wp:lineTo x="21425" y="2870"/>
                <wp:lineTo x="3547" y="0"/>
                <wp:lineTo x="142" y="0"/>
              </wp:wrapPolygon>
            </wp:wrapTight>
            <wp:docPr id="1" name="Picture 1"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h.gov.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0045" cy="573405"/>
                    </a:xfrm>
                    <a:prstGeom prst="rect">
                      <a:avLst/>
                    </a:prstGeom>
                    <a:noFill/>
                    <a:ln>
                      <a:noFill/>
                    </a:ln>
                  </pic:spPr>
                </pic:pic>
              </a:graphicData>
            </a:graphic>
          </wp:anchor>
        </w:drawing>
      </w:r>
    </w:p>
    <w:p w:rsidR="00394EBF" w:rsidRDefault="00394EBF" w:rsidP="00394EBF">
      <w:pPr>
        <w:tabs>
          <w:tab w:val="left" w:pos="7701"/>
        </w:tabs>
        <w:spacing w:before="120" w:after="0" w:line="240" w:lineRule="auto"/>
        <w:jc w:val="center"/>
        <w:rPr>
          <w:rFonts w:ascii="Calibri" w:eastAsia="Calibri" w:hAnsi="Calibri" w:cs="Times New Roman"/>
          <w:b/>
          <w:caps/>
          <w:color w:val="0077C0"/>
          <w:sz w:val="36"/>
          <w:lang w:val="en-US"/>
        </w:rPr>
      </w:pPr>
    </w:p>
    <w:p w:rsidR="00394EBF" w:rsidRDefault="00394EBF" w:rsidP="00394EBF">
      <w:pPr>
        <w:tabs>
          <w:tab w:val="left" w:pos="7701"/>
        </w:tabs>
        <w:spacing w:before="120" w:after="0" w:line="240" w:lineRule="auto"/>
        <w:jc w:val="center"/>
        <w:rPr>
          <w:rFonts w:ascii="Calibri" w:eastAsia="Calibri" w:hAnsi="Calibri" w:cs="Times New Roman"/>
          <w:b/>
          <w:caps/>
          <w:color w:val="0077C0"/>
          <w:sz w:val="36"/>
          <w:lang w:val="en-US"/>
        </w:rPr>
      </w:pPr>
    </w:p>
    <w:p w:rsidR="00394EBF" w:rsidRPr="00394EBF" w:rsidRDefault="00394EBF" w:rsidP="00394EBF">
      <w:pPr>
        <w:tabs>
          <w:tab w:val="left" w:pos="7701"/>
        </w:tabs>
        <w:spacing w:before="120" w:after="0" w:line="240" w:lineRule="auto"/>
        <w:jc w:val="center"/>
        <w:rPr>
          <w:rFonts w:ascii="Calibri" w:eastAsia="Calibri" w:hAnsi="Calibri" w:cs="Times New Roman"/>
          <w:b/>
          <w:caps/>
          <w:color w:val="0077C0"/>
          <w:sz w:val="36"/>
          <w:lang w:val="en-US"/>
        </w:rPr>
      </w:pPr>
      <w:r w:rsidRPr="00394EBF">
        <w:rPr>
          <w:rFonts w:ascii="Calibri" w:eastAsia="Calibri" w:hAnsi="Calibri" w:cs="Times New Roman"/>
          <w:b/>
          <w:caps/>
          <w:color w:val="0077C0"/>
          <w:sz w:val="36"/>
          <w:lang w:val="en-US"/>
        </w:rPr>
        <w:t>Concept NOte</w:t>
      </w:r>
    </w:p>
    <w:p w:rsidR="00394EBF" w:rsidRPr="00394EBF" w:rsidRDefault="00394EBF" w:rsidP="00394EBF">
      <w:pPr>
        <w:spacing w:after="0" w:line="240" w:lineRule="auto"/>
        <w:jc w:val="center"/>
        <w:rPr>
          <w:rFonts w:ascii="Calibri" w:eastAsia="Calibri" w:hAnsi="Calibri" w:cs="Times New Roman"/>
          <w:b/>
          <w:noProof/>
          <w:color w:val="000000"/>
          <w:sz w:val="32"/>
          <w:szCs w:val="32"/>
          <w:lang w:eastAsia="en-GB"/>
        </w:rPr>
      </w:pPr>
      <w:r w:rsidRPr="00394EBF">
        <w:rPr>
          <w:rFonts w:ascii="Calibri" w:eastAsia="Calibri" w:hAnsi="Calibri" w:cs="Times New Roman"/>
          <w:b/>
          <w:noProof/>
          <w:color w:val="000000"/>
          <w:sz w:val="32"/>
          <w:szCs w:val="32"/>
          <w:lang w:eastAsia="en-GB"/>
        </w:rPr>
        <w:t>Conference on Internal Displacement devoted to 20</w:t>
      </w:r>
      <w:r w:rsidRPr="00394EBF">
        <w:rPr>
          <w:rFonts w:ascii="Calibri" w:eastAsia="Calibri" w:hAnsi="Calibri" w:cs="Times New Roman"/>
          <w:b/>
          <w:noProof/>
          <w:color w:val="000000"/>
          <w:sz w:val="32"/>
          <w:szCs w:val="32"/>
          <w:vertAlign w:val="superscript"/>
          <w:lang w:eastAsia="en-GB"/>
        </w:rPr>
        <w:t xml:space="preserve">th </w:t>
      </w:r>
      <w:r w:rsidRPr="00394EBF">
        <w:rPr>
          <w:rFonts w:ascii="Calibri" w:eastAsia="Calibri" w:hAnsi="Calibri" w:cs="Times New Roman"/>
          <w:b/>
          <w:noProof/>
          <w:color w:val="000000"/>
          <w:sz w:val="32"/>
          <w:szCs w:val="32"/>
          <w:lang w:eastAsia="en-GB"/>
        </w:rPr>
        <w:t>Anniversary of the Guiding Principles on Internal Displacement</w:t>
      </w:r>
    </w:p>
    <w:p w:rsidR="00394EBF" w:rsidRPr="00394EBF" w:rsidRDefault="00CA5310" w:rsidP="00394EBF">
      <w:pPr>
        <w:spacing w:after="0" w:line="240" w:lineRule="auto"/>
        <w:jc w:val="center"/>
        <w:rPr>
          <w:rFonts w:ascii="Calibri" w:eastAsia="Calibri" w:hAnsi="Calibri" w:cs="Times New Roman"/>
          <w:b/>
          <w:i/>
          <w:noProof/>
          <w:color w:val="000000"/>
          <w:sz w:val="32"/>
          <w:szCs w:val="32"/>
          <w:lang w:eastAsia="en-GB"/>
        </w:rPr>
      </w:pPr>
      <w:r>
        <w:rPr>
          <w:rFonts w:ascii="Calibri" w:eastAsia="Calibri" w:hAnsi="Calibri" w:cs="Times New Roman"/>
          <w:b/>
          <w:i/>
          <w:noProof/>
          <w:color w:val="000000"/>
          <w:sz w:val="32"/>
          <w:szCs w:val="32"/>
          <w:lang w:eastAsia="en-GB"/>
        </w:rPr>
        <w:t>2 July, 2019</w:t>
      </w:r>
      <w:bookmarkStart w:id="0" w:name="_GoBack"/>
      <w:bookmarkEnd w:id="0"/>
    </w:p>
    <w:p w:rsidR="00394EBF" w:rsidRPr="00394EBF" w:rsidRDefault="00394EBF" w:rsidP="00394EBF">
      <w:pPr>
        <w:keepNext/>
        <w:keepLines/>
        <w:pBdr>
          <w:bottom w:val="single" w:sz="2" w:space="1" w:color="4BA6DD"/>
        </w:pBdr>
        <w:spacing w:before="240" w:after="0" w:line="240" w:lineRule="auto"/>
        <w:jc w:val="both"/>
        <w:outlineLvl w:val="0"/>
        <w:rPr>
          <w:rFonts w:ascii="Calibri" w:eastAsia="Times New Roman" w:hAnsi="Calibri" w:cs="Times New Roman"/>
          <w:b/>
          <w:bCs/>
          <w:caps/>
          <w:color w:val="0077C0"/>
          <w:spacing w:val="8"/>
          <w:lang w:val="en-US"/>
        </w:rPr>
      </w:pPr>
      <w:r w:rsidRPr="00394EBF">
        <w:rPr>
          <w:rFonts w:ascii="Calibri" w:eastAsia="Times New Roman" w:hAnsi="Calibri" w:cs="Times New Roman"/>
          <w:b/>
          <w:bCs/>
          <w:caps/>
          <w:color w:val="0077C0"/>
          <w:spacing w:val="8"/>
          <w:lang w:val="en-US"/>
        </w:rPr>
        <w:t>1. BACKGROUND INFORMATION</w:t>
      </w:r>
    </w:p>
    <w:p w:rsidR="00394EBF" w:rsidRPr="00394EBF" w:rsidRDefault="00394EBF" w:rsidP="00394EBF">
      <w:pPr>
        <w:spacing w:after="0"/>
        <w:jc w:val="both"/>
        <w:rPr>
          <w:rFonts w:ascii="Times New Roman" w:hAnsi="Times New Roman"/>
          <w:noProof/>
        </w:rPr>
      </w:pPr>
      <w:r w:rsidRPr="00394EBF">
        <w:rPr>
          <w:rFonts w:ascii="Times New Roman" w:hAnsi="Times New Roman"/>
          <w:noProof/>
        </w:rPr>
        <w:t>In 2018, the Guiding Principles on Internal Displacement (GP) marked its 20</w:t>
      </w:r>
      <w:r w:rsidRPr="00394EBF">
        <w:rPr>
          <w:rFonts w:ascii="Times New Roman" w:hAnsi="Times New Roman"/>
          <w:noProof/>
          <w:vertAlign w:val="superscript"/>
        </w:rPr>
        <w:t>th</w:t>
      </w:r>
      <w:r w:rsidRPr="00394EBF">
        <w:rPr>
          <w:rFonts w:ascii="Times New Roman" w:hAnsi="Times New Roman"/>
          <w:noProof/>
        </w:rPr>
        <w:t xml:space="preserve"> anniversary. The document sets the standards for the protection of internally displaced persons worldwide. The Principles identify the rights and guarantees relevant to the protection of internally displaced persons during all phases of displacement. They provide protection against arbitrary displacement, offer the basis for protection during displacement and set forth guarantees for safe return, resettlement or reintegration.</w:t>
      </w:r>
      <w:r w:rsidRPr="00394EBF">
        <w:rPr>
          <w:rFonts w:ascii="Times New Roman" w:hAnsi="Times New Roman"/>
          <w:noProof/>
          <w:vertAlign w:val="superscript"/>
        </w:rPr>
        <w:footnoteReference w:id="1"/>
      </w:r>
      <w:r w:rsidRPr="00394EBF">
        <w:rPr>
          <w:rFonts w:ascii="Times New Roman" w:hAnsi="Times New Roman"/>
          <w:noProof/>
        </w:rPr>
        <w:t xml:space="preserve"> Despite progress made in responding to challenges linked to internal displacement globally, there is still an ever greater need to prevent and resolve internal displacement with currently over 40 million persons being uprooted within their countries. As indicated in the 2018 Global Report on Internal Displacement, progress in the development of normative frameworks and policies has not been matched by implementation and adequate investment in preventing and ending displacement.</w:t>
      </w:r>
      <w:r w:rsidRPr="00394EBF">
        <w:rPr>
          <w:rFonts w:ascii="Times New Roman" w:hAnsi="Times New Roman"/>
          <w:noProof/>
          <w:vertAlign w:val="superscript"/>
        </w:rPr>
        <w:footnoteReference w:id="2"/>
      </w:r>
      <w:r w:rsidRPr="00394EBF">
        <w:rPr>
          <w:rFonts w:ascii="Times New Roman" w:hAnsi="Times New Roman"/>
          <w:noProof/>
        </w:rPr>
        <w:t xml:space="preserve"> In April 2018, the GP20 Plan of Action for Advancing Prevention, Protection and Solutions for IDPs was launched.</w:t>
      </w:r>
      <w:r w:rsidRPr="00394EBF">
        <w:rPr>
          <w:rFonts w:ascii="Times New Roman" w:hAnsi="Times New Roman"/>
          <w:noProof/>
          <w:vertAlign w:val="superscript"/>
        </w:rPr>
        <w:footnoteReference w:id="3"/>
      </w:r>
      <w:r w:rsidRPr="00394EBF">
        <w:rPr>
          <w:rFonts w:ascii="Times New Roman" w:hAnsi="Times New Roman"/>
          <w:noProof/>
        </w:rPr>
        <w:t xml:space="preserve"> The document refers to four interrelated priorities: (i) engage IDPs in decision-making; (ii) promote, develop and implement national normative and institutional frameworks; (iii) enhance the quality of data and analysis on internal displacement; and (iv) address protracted displacement and supporting solutions. </w:t>
      </w:r>
    </w:p>
    <w:p w:rsidR="00394EBF" w:rsidRPr="00394EBF" w:rsidRDefault="00394EBF" w:rsidP="00394EBF">
      <w:pPr>
        <w:spacing w:after="0"/>
        <w:jc w:val="both"/>
        <w:rPr>
          <w:rFonts w:ascii="Times New Roman" w:hAnsi="Times New Roman"/>
          <w:noProof/>
        </w:rPr>
      </w:pPr>
    </w:p>
    <w:p w:rsidR="00394EBF" w:rsidRPr="00394EBF" w:rsidRDefault="00394EBF" w:rsidP="00394EBF">
      <w:pPr>
        <w:spacing w:after="0"/>
        <w:jc w:val="both"/>
        <w:rPr>
          <w:rFonts w:ascii="Times New Roman" w:hAnsi="Times New Roman"/>
          <w:noProof/>
        </w:rPr>
      </w:pPr>
      <w:r w:rsidRPr="00394EBF">
        <w:rPr>
          <w:rFonts w:ascii="Times New Roman" w:hAnsi="Times New Roman"/>
          <w:noProof/>
        </w:rPr>
        <w:t>A Steering Group, co-chaired initially by UNHCR and OCHA and later joined by IOM and UNDP oversees implementation of the GP20 notably in engaging stakeholders at national level in achieving the overall goal to reduce and resolve internal displacement. Countries are encouraged to review how they can pursue more vigorously durable solutions for IDPs, as well as address the root causes of displacement and prevent further displacement. Georgia has a vast and multi-dimensional experience in addressing the protracted IDP situation in the country, as it has over time adopted laws, policies, strategies and action plans in support of finding solutions to internal displacement such as in durable housing and livelihood opportunities, but also in addressing the conflicts directly related to the displacement, as evidenced in a number of proposals most recently laid down in its document “Steps towards a better future”.  As a national celebration of the 20</w:t>
      </w:r>
      <w:r w:rsidRPr="00394EBF">
        <w:rPr>
          <w:rFonts w:ascii="Times New Roman" w:hAnsi="Times New Roman"/>
          <w:noProof/>
          <w:vertAlign w:val="superscript"/>
        </w:rPr>
        <w:t>th</w:t>
      </w:r>
      <w:r w:rsidRPr="00394EBF">
        <w:rPr>
          <w:rFonts w:ascii="Times New Roman" w:hAnsi="Times New Roman"/>
          <w:noProof/>
        </w:rPr>
        <w:t xml:space="preserve"> anniversary of the Guiding Principles the UN Country Team in Georgia proposes to organize a public event which hopes to take the current </w:t>
      </w:r>
      <w:r w:rsidRPr="00394EBF">
        <w:rPr>
          <w:rFonts w:ascii="Times New Roman" w:hAnsi="Times New Roman"/>
          <w:noProof/>
        </w:rPr>
        <w:lastRenderedPageBreak/>
        <w:t>strategies and action plans aimed at finding solutions to internal displacement and related conflicts in Georgia decisively further.</w:t>
      </w:r>
    </w:p>
    <w:p w:rsidR="00394EBF" w:rsidRPr="00394EBF" w:rsidRDefault="00394EBF" w:rsidP="00394EBF">
      <w:pPr>
        <w:spacing w:after="0" w:line="240" w:lineRule="auto"/>
        <w:jc w:val="both"/>
        <w:rPr>
          <w:rFonts w:ascii="Times New Roman" w:eastAsia="Calibri" w:hAnsi="Times New Roman" w:cs="Calibri"/>
          <w:color w:val="000000"/>
          <w:lang w:val="en-US"/>
        </w:rPr>
      </w:pPr>
    </w:p>
    <w:p w:rsidR="00394EBF" w:rsidRPr="00394EBF" w:rsidRDefault="00394EBF" w:rsidP="00394EBF">
      <w:pPr>
        <w:keepNext/>
        <w:keepLines/>
        <w:pBdr>
          <w:bottom w:val="single" w:sz="2" w:space="1" w:color="4BA6DD"/>
        </w:pBdr>
        <w:spacing w:after="0" w:line="240" w:lineRule="auto"/>
        <w:outlineLvl w:val="0"/>
        <w:rPr>
          <w:rFonts w:ascii="Calibri" w:eastAsia="Times New Roman" w:hAnsi="Calibri" w:cs="Times New Roman"/>
          <w:b/>
          <w:bCs/>
          <w:caps/>
          <w:color w:val="0077C0"/>
          <w:spacing w:val="8"/>
          <w:lang w:val="en-US"/>
        </w:rPr>
      </w:pPr>
      <w:r w:rsidRPr="00394EBF">
        <w:rPr>
          <w:rFonts w:ascii="Calibri" w:eastAsia="Times New Roman" w:hAnsi="Calibri" w:cs="Times New Roman"/>
          <w:b/>
          <w:bCs/>
          <w:caps/>
          <w:color w:val="0077C0"/>
          <w:spacing w:val="8"/>
          <w:lang w:val="en-US"/>
        </w:rPr>
        <w:t>2. proposed topics for discussion and objectives of the National event</w:t>
      </w:r>
    </w:p>
    <w:p w:rsidR="00394EBF" w:rsidRPr="00394EBF" w:rsidRDefault="00394EBF" w:rsidP="00394EBF">
      <w:pPr>
        <w:spacing w:after="0"/>
        <w:jc w:val="both"/>
        <w:rPr>
          <w:rFonts w:ascii="Times New Roman" w:hAnsi="Times New Roman"/>
          <w:noProof/>
        </w:rPr>
      </w:pPr>
      <w:r w:rsidRPr="00394EBF">
        <w:rPr>
          <w:rFonts w:ascii="Times New Roman" w:hAnsi="Times New Roman"/>
          <w:noProof/>
        </w:rPr>
        <w:t>The Guiding Principles have played an important role in Georgia, guiding the Government and relevant stakeholders in further enhancing national legislation, policies and strategies on internal displacement. Currently, Georgia has 282,381 IDPs registered.</w:t>
      </w:r>
      <w:r w:rsidRPr="00394EBF">
        <w:rPr>
          <w:rFonts w:ascii="Times New Roman" w:hAnsi="Times New Roman"/>
          <w:noProof/>
          <w:vertAlign w:val="superscript"/>
        </w:rPr>
        <w:footnoteReference w:id="4"/>
      </w:r>
      <w:r w:rsidRPr="00394EBF">
        <w:rPr>
          <w:rFonts w:ascii="Times New Roman" w:hAnsi="Times New Roman"/>
          <w:noProof/>
        </w:rPr>
        <w:t xml:space="preserve"> The overwhelming majority of IDPs originate from the breakaway regions of Abkhazia and Tskhinvali/South Ossetia, and were displaced in two waves during conflicts in the early 1990s and later in 2008. According to a participatory assessment conducted by UNHCR in early 2018, the IDP population feels appreciated as a part of the society, and not discriminated against or excluded from the host community. According to respondents, IDPs and non-IDPs in Georgia face similar challenges, deriving from economic hardship and lack of access to sufficient livelihood opportunities and public services. State funding however is insufficient to address the housing needs of all IDPs and job opportunities and other livelihood opportunities remain limited. Whereas the Government with support of the international community has made considerable progress in </w:t>
      </w:r>
      <w:r w:rsidRPr="00501371">
        <w:rPr>
          <w:rFonts w:ascii="Times New Roman" w:hAnsi="Times New Roman"/>
          <w:noProof/>
        </w:rPr>
        <w:t>providing durable solutions for IDPs, as suggested by the Special Rapporteur on Human Rights of IDPs, the Government needs to review its approach to find alternative ways of supporting internally displaced persons. Moreover</w:t>
      </w:r>
      <w:r w:rsidRPr="00394EBF">
        <w:rPr>
          <w:rFonts w:ascii="Times New Roman" w:hAnsi="Times New Roman"/>
          <w:noProof/>
        </w:rPr>
        <w:t>, further efforts to improve the living conditions and livelihoods of internally displaced persons remain necessary, notably by closing the remaining “collapsing collective centers” and coupling durable housing initiatives with those in support of livelihoods and employment-generating activities, particularly those that are community-based.</w:t>
      </w:r>
      <w:r w:rsidRPr="00394EBF">
        <w:rPr>
          <w:rFonts w:ascii="Times New Roman" w:hAnsi="Times New Roman"/>
          <w:noProof/>
          <w:vertAlign w:val="superscript"/>
        </w:rPr>
        <w:footnoteReference w:id="5"/>
      </w:r>
      <w:r w:rsidRPr="00394EBF">
        <w:rPr>
          <w:rFonts w:ascii="Times New Roman" w:hAnsi="Times New Roman"/>
          <w:noProof/>
        </w:rPr>
        <w:t xml:space="preserve"> One of the recommended actions of the Special Rapporteur and supported by UNHCR is to consider the shift from status to needs based social assistance with the precondition that the process is inclusive and participatory of the views of IDPs. The modalities of the reform are yet to be agreed and finalized. </w:t>
      </w:r>
    </w:p>
    <w:p w:rsidR="00394EBF" w:rsidRPr="00394EBF" w:rsidRDefault="00394EBF" w:rsidP="00394EBF">
      <w:pPr>
        <w:spacing w:after="0"/>
        <w:jc w:val="both"/>
        <w:rPr>
          <w:rFonts w:ascii="Times New Roman" w:hAnsi="Times New Roman"/>
          <w:noProof/>
        </w:rPr>
      </w:pPr>
    </w:p>
    <w:p w:rsidR="00394EBF" w:rsidRPr="00394EBF" w:rsidRDefault="00394EBF" w:rsidP="00394EBF">
      <w:pPr>
        <w:spacing w:after="0"/>
        <w:jc w:val="both"/>
        <w:rPr>
          <w:rFonts w:ascii="Times New Roman" w:hAnsi="Times New Roman"/>
          <w:b/>
          <w:noProof/>
        </w:rPr>
      </w:pPr>
      <w:r w:rsidRPr="00394EBF">
        <w:rPr>
          <w:rFonts w:ascii="Times New Roman" w:hAnsi="Times New Roman"/>
          <w:noProof/>
        </w:rPr>
        <w:t>In order to review progress achieved and ways forward to address remaining challenges ahead a one day Conference will be organized which will serve to:</w:t>
      </w:r>
    </w:p>
    <w:p w:rsidR="00394EBF" w:rsidRPr="00394EBF" w:rsidRDefault="00394EBF" w:rsidP="00394EBF">
      <w:pPr>
        <w:numPr>
          <w:ilvl w:val="0"/>
          <w:numId w:val="1"/>
        </w:numPr>
        <w:spacing w:after="120" w:line="276" w:lineRule="auto"/>
        <w:contextualSpacing/>
        <w:jc w:val="both"/>
        <w:rPr>
          <w:rFonts w:ascii="Times New Roman" w:hAnsi="Times New Roman"/>
          <w:noProof/>
        </w:rPr>
      </w:pPr>
      <w:r w:rsidRPr="00394EBF">
        <w:rPr>
          <w:rFonts w:ascii="Times New Roman" w:hAnsi="Times New Roman"/>
          <w:noProof/>
        </w:rPr>
        <w:t>Provide an overview of national legislation, policies and strategies on internal displacement and challenges faced (to be covered by the responsible Ministry for IDPs);</w:t>
      </w:r>
    </w:p>
    <w:p w:rsidR="00394EBF" w:rsidRPr="00394EBF" w:rsidRDefault="00394EBF" w:rsidP="00394EBF">
      <w:pPr>
        <w:numPr>
          <w:ilvl w:val="0"/>
          <w:numId w:val="1"/>
        </w:numPr>
        <w:spacing w:after="120" w:line="276" w:lineRule="auto"/>
        <w:contextualSpacing/>
        <w:jc w:val="both"/>
        <w:rPr>
          <w:rFonts w:ascii="Times New Roman" w:hAnsi="Times New Roman"/>
          <w:noProof/>
        </w:rPr>
      </w:pPr>
      <w:r w:rsidRPr="00394EBF">
        <w:rPr>
          <w:rFonts w:ascii="Times New Roman" w:hAnsi="Times New Roman"/>
          <w:noProof/>
        </w:rPr>
        <w:t xml:space="preserve">Share results of IDP forum organized by UNHCR partner NGO LAG with the view of having IDP voices heard and to ensure their recommendations and solutions </w:t>
      </w:r>
      <w:r w:rsidRPr="00394EBF">
        <w:rPr>
          <w:rFonts w:ascii="Times New Roman" w:hAnsi="Times New Roman"/>
          <w:i/>
          <w:iCs/>
          <w:noProof/>
        </w:rPr>
        <w:t>vis a vis</w:t>
      </w:r>
      <w:r w:rsidRPr="00394EBF">
        <w:rPr>
          <w:rFonts w:ascii="Times New Roman" w:hAnsi="Times New Roman"/>
          <w:noProof/>
        </w:rPr>
        <w:t xml:space="preserve"> protracted displacement is well represented at the high level event;</w:t>
      </w:r>
    </w:p>
    <w:p w:rsidR="00394EBF" w:rsidRPr="00394EBF" w:rsidRDefault="00394EBF" w:rsidP="00394EBF">
      <w:pPr>
        <w:numPr>
          <w:ilvl w:val="0"/>
          <w:numId w:val="1"/>
        </w:numPr>
        <w:spacing w:after="120" w:line="276" w:lineRule="auto"/>
        <w:contextualSpacing/>
        <w:jc w:val="both"/>
        <w:rPr>
          <w:rFonts w:ascii="Times New Roman" w:hAnsi="Times New Roman"/>
          <w:noProof/>
        </w:rPr>
      </w:pPr>
      <w:r w:rsidRPr="00394EBF">
        <w:rPr>
          <w:rFonts w:ascii="Times New Roman" w:hAnsi="Times New Roman"/>
          <w:noProof/>
        </w:rPr>
        <w:t>Contribute to an exchange of views among representatives of government and State agencies, donor community, UN agencies, civil society and IDP communities on ways forward for improving the situation of IDPs in Georgia, including in the breakaway regions of Abkhazia and South Ossetia</w:t>
      </w:r>
    </w:p>
    <w:p w:rsidR="00394EBF" w:rsidRPr="00394EBF" w:rsidRDefault="00394EBF" w:rsidP="00394EBF">
      <w:pPr>
        <w:numPr>
          <w:ilvl w:val="0"/>
          <w:numId w:val="1"/>
        </w:numPr>
        <w:spacing w:after="360" w:line="276" w:lineRule="auto"/>
        <w:ind w:left="714" w:hanging="357"/>
        <w:jc w:val="both"/>
        <w:rPr>
          <w:rFonts w:ascii="Times New Roman" w:hAnsi="Times New Roman"/>
          <w:noProof/>
        </w:rPr>
      </w:pPr>
      <w:r w:rsidRPr="00394EBF">
        <w:rPr>
          <w:rFonts w:ascii="Times New Roman" w:hAnsi="Times New Roman"/>
          <w:noProof/>
        </w:rPr>
        <w:t>Generate ideas on concrete steps that can be undertaken in Georgia in order to address notably the fourth priority area of GP20 Plan of Action related to addressing the protracted displacement and supporting solutions.</w:t>
      </w:r>
    </w:p>
    <w:p w:rsidR="00394EBF" w:rsidRPr="00394EBF" w:rsidRDefault="00394EBF" w:rsidP="00394EBF">
      <w:pPr>
        <w:keepNext/>
        <w:keepLines/>
        <w:pBdr>
          <w:bottom w:val="single" w:sz="2" w:space="1" w:color="4BA6DD"/>
        </w:pBdr>
        <w:spacing w:before="240" w:after="0" w:line="240" w:lineRule="auto"/>
        <w:jc w:val="both"/>
        <w:outlineLvl w:val="0"/>
        <w:rPr>
          <w:rFonts w:ascii="Calibri" w:eastAsia="Times New Roman" w:hAnsi="Calibri" w:cs="Times New Roman"/>
          <w:b/>
          <w:bCs/>
          <w:caps/>
          <w:color w:val="0077C0"/>
          <w:spacing w:val="8"/>
          <w:lang w:val="en-US"/>
        </w:rPr>
      </w:pPr>
      <w:r w:rsidRPr="00394EBF">
        <w:rPr>
          <w:rFonts w:ascii="Calibri" w:eastAsia="Times New Roman" w:hAnsi="Calibri" w:cs="Times New Roman"/>
          <w:b/>
          <w:bCs/>
          <w:caps/>
          <w:color w:val="0077C0"/>
          <w:spacing w:val="8"/>
          <w:lang w:val="en-US"/>
        </w:rPr>
        <w:t>3. PROPOSED PARTICIPANTS</w:t>
      </w:r>
    </w:p>
    <w:p w:rsidR="00394EBF" w:rsidRPr="00394EBF" w:rsidRDefault="00394EBF" w:rsidP="00394EBF">
      <w:pPr>
        <w:spacing w:after="240"/>
        <w:jc w:val="both"/>
        <w:rPr>
          <w:rFonts w:ascii="Times New Roman" w:eastAsia="Calibri" w:hAnsi="Times New Roman" w:cs="Calibri"/>
          <w:color w:val="000000"/>
          <w:lang w:val="en-US"/>
        </w:rPr>
      </w:pPr>
      <w:r w:rsidRPr="00394EBF">
        <w:rPr>
          <w:rFonts w:ascii="Times New Roman" w:eastAsia="Calibri" w:hAnsi="Times New Roman" w:cs="Calibri"/>
          <w:color w:val="000000"/>
          <w:lang w:val="en-US"/>
        </w:rPr>
        <w:t xml:space="preserve">It is proposed that the event is co-hosted by the UN Resident Coordinator and the Minister of Internally Displaced Persons from the Occupied Territories, </w:t>
      </w:r>
      <w:proofErr w:type="spellStart"/>
      <w:r w:rsidRPr="00394EBF">
        <w:rPr>
          <w:rFonts w:ascii="Times New Roman" w:eastAsia="Calibri" w:hAnsi="Times New Roman" w:cs="Calibri"/>
          <w:color w:val="000000"/>
          <w:lang w:val="en-US"/>
        </w:rPr>
        <w:t>Labour</w:t>
      </w:r>
      <w:proofErr w:type="spellEnd"/>
      <w:r w:rsidRPr="00394EBF">
        <w:rPr>
          <w:rFonts w:ascii="Times New Roman" w:eastAsia="Calibri" w:hAnsi="Times New Roman" w:cs="Calibri"/>
          <w:color w:val="000000"/>
          <w:lang w:val="en-US"/>
        </w:rPr>
        <w:t xml:space="preserve">, Health and Social Affairs of Georgia, with also a key role for the State Minster for Reconciliation and Civic Equity. Participants will include other </w:t>
      </w:r>
      <w:r w:rsidRPr="00394EBF">
        <w:rPr>
          <w:rFonts w:ascii="Times New Roman" w:eastAsia="Calibri" w:hAnsi="Times New Roman" w:cs="Calibri"/>
          <w:color w:val="000000"/>
          <w:lang w:val="en-US"/>
        </w:rPr>
        <w:lastRenderedPageBreak/>
        <w:t>State and non-governmental agencies responsible for providing protection and solutions for IDPs, Office of the Public Defender of Georgia, civil society representatives (representatives of IDP NGOs), parliamentarians, donor community, development agencies. The Special Rapporteur on Human Rights of IDPs has preliminarily confirmed her availability to contribute in person to this national event.</w:t>
      </w:r>
    </w:p>
    <w:p w:rsidR="00394EBF" w:rsidRPr="00394EBF" w:rsidRDefault="00394EBF" w:rsidP="00394EBF">
      <w:pPr>
        <w:spacing w:after="240"/>
        <w:jc w:val="both"/>
        <w:rPr>
          <w:rFonts w:ascii="Times New Roman" w:eastAsia="Calibri" w:hAnsi="Times New Roman" w:cs="Arial"/>
          <w:color w:val="000000"/>
          <w:lang w:val="en-US"/>
        </w:rPr>
      </w:pPr>
      <w:r w:rsidRPr="00394EBF">
        <w:rPr>
          <w:rFonts w:ascii="Times New Roman" w:eastAsia="Calibri" w:hAnsi="Times New Roman" w:cs="Calibri"/>
          <w:color w:val="000000"/>
          <w:lang w:val="en-US"/>
        </w:rPr>
        <w:t>UNHCR will provide administrative and technical assistance and support for the organization of the event and any follow-up events that might be necessary.</w:t>
      </w:r>
    </w:p>
    <w:p w:rsidR="00394EBF" w:rsidRPr="00394EBF" w:rsidRDefault="00394EBF" w:rsidP="00394EBF">
      <w:pPr>
        <w:spacing w:after="0" w:line="240" w:lineRule="auto"/>
        <w:jc w:val="both"/>
        <w:rPr>
          <w:rFonts w:ascii="Times New Roman" w:eastAsia="Calibri" w:hAnsi="Times New Roman" w:cs="Calibri"/>
          <w:color w:val="000000"/>
          <w:lang w:val="en-US"/>
        </w:rPr>
      </w:pPr>
    </w:p>
    <w:p w:rsidR="00394EBF" w:rsidRPr="00394EBF" w:rsidRDefault="00394EBF" w:rsidP="00394EBF">
      <w:pPr>
        <w:spacing w:after="0" w:line="240" w:lineRule="auto"/>
        <w:jc w:val="right"/>
        <w:rPr>
          <w:rFonts w:ascii="Calibri" w:eastAsia="Calibri" w:hAnsi="Calibri" w:cs="Times New Roman"/>
          <w:i/>
          <w:lang w:val="en-US"/>
        </w:rPr>
      </w:pPr>
    </w:p>
    <w:p w:rsidR="00394EBF" w:rsidRPr="00394EBF" w:rsidRDefault="00394EBF" w:rsidP="00394EBF">
      <w:pPr>
        <w:tabs>
          <w:tab w:val="left" w:pos="1644"/>
        </w:tabs>
        <w:spacing w:after="0" w:line="240" w:lineRule="auto"/>
        <w:jc w:val="center"/>
        <w:rPr>
          <w:rFonts w:ascii="Myriad Pro" w:eastAsia="Calibri" w:hAnsi="Myriad Pro" w:cs="Times New Roman"/>
          <w:b/>
          <w:bCs/>
          <w:caps/>
          <w:noProof/>
          <w:color w:val="000000"/>
          <w:sz w:val="24"/>
          <w:szCs w:val="24"/>
          <w:lang w:eastAsia="en-GB"/>
        </w:rPr>
      </w:pPr>
    </w:p>
    <w:p w:rsidR="008C3B16" w:rsidRDefault="008C3B16"/>
    <w:sectPr w:rsidR="008C3B16" w:rsidSect="00900FD9">
      <w:headerReference w:type="default" r:id="rId9"/>
      <w:footerReference w:type="default" r:id="rId10"/>
      <w:pgSz w:w="12240" w:h="15840"/>
      <w:pgMar w:top="993" w:right="1610" w:bottom="1418" w:left="1559" w:header="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AD6" w:rsidRDefault="00853AD6" w:rsidP="00394EBF">
      <w:pPr>
        <w:spacing w:after="0" w:line="240" w:lineRule="auto"/>
      </w:pPr>
      <w:r>
        <w:separator/>
      </w:r>
    </w:p>
  </w:endnote>
  <w:endnote w:type="continuationSeparator" w:id="0">
    <w:p w:rsidR="00853AD6" w:rsidRDefault="00853AD6" w:rsidP="0039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90A" w:rsidRPr="00F7390A" w:rsidRDefault="00DF1BA4" w:rsidP="008A0A2A">
    <w:pPr>
      <w:pStyle w:val="Footer"/>
      <w:jc w:val="center"/>
      <w:rPr>
        <w:rFonts w:ascii="Times New Roman" w:hAnsi="Times New Roman" w:cs="Times New Roman"/>
        <w:sz w:val="20"/>
        <w:szCs w:val="20"/>
      </w:rPr>
    </w:pPr>
    <w:r>
      <w:rPr>
        <w:rFonts w:ascii="Sylfaen" w:hAnsi="Sylfaen"/>
      </w:rPr>
      <w:t xml:space="preserve"> </w:t>
    </w:r>
    <w:r w:rsidRPr="00F7390A">
      <w:rPr>
        <w:rFonts w:ascii="Times New Roman" w:hAnsi="Times New Roman" w:cs="Times New Roman"/>
        <w:sz w:val="20"/>
        <w:szCs w:val="20"/>
      </w:rPr>
      <w:t xml:space="preserve">9 </w:t>
    </w:r>
    <w:proofErr w:type="spellStart"/>
    <w:r w:rsidRPr="00F7390A">
      <w:rPr>
        <w:rFonts w:ascii="Times New Roman" w:hAnsi="Times New Roman" w:cs="Times New Roman"/>
        <w:sz w:val="20"/>
        <w:szCs w:val="20"/>
      </w:rPr>
      <w:t>Raphiel</w:t>
    </w:r>
    <w:proofErr w:type="spellEnd"/>
    <w:r w:rsidRPr="00F7390A">
      <w:rPr>
        <w:rFonts w:ascii="Times New Roman" w:hAnsi="Times New Roman" w:cs="Times New Roman"/>
        <w:sz w:val="20"/>
        <w:szCs w:val="20"/>
      </w:rPr>
      <w:t xml:space="preserve"> </w:t>
    </w:r>
    <w:proofErr w:type="spellStart"/>
    <w:r w:rsidRPr="00F7390A">
      <w:rPr>
        <w:rFonts w:ascii="Times New Roman" w:hAnsi="Times New Roman" w:cs="Times New Roman"/>
        <w:sz w:val="20"/>
        <w:szCs w:val="20"/>
      </w:rPr>
      <w:t>Eristavi</w:t>
    </w:r>
    <w:proofErr w:type="spellEnd"/>
    <w:r w:rsidRPr="00F7390A">
      <w:rPr>
        <w:rFonts w:ascii="Times New Roman" w:hAnsi="Times New Roman" w:cs="Times New Roman"/>
        <w:sz w:val="20"/>
        <w:szCs w:val="20"/>
      </w:rPr>
      <w:t xml:space="preserve"> Street, Tbilisi 0179, Georgia</w:t>
    </w:r>
  </w:p>
  <w:p w:rsidR="008A0A2A" w:rsidRPr="008A0A2A" w:rsidRDefault="00DF1BA4" w:rsidP="008A0A2A">
    <w:pPr>
      <w:pStyle w:val="Footer"/>
      <w:jc w:val="center"/>
    </w:pPr>
    <w:r w:rsidRPr="00F7390A">
      <w:rPr>
        <w:rFonts w:ascii="Times New Roman" w:hAnsi="Times New Roman" w:cs="Times New Roman"/>
        <w:sz w:val="20"/>
        <w:szCs w:val="20"/>
      </w:rPr>
      <w:t xml:space="preserve">Tel: +995 32 225 11 26 | Fax: +995 32 225 02 72 | E-mail: </w:t>
    </w:r>
    <w:hyperlink r:id="rId1" w:history="1">
      <w:r w:rsidRPr="00F7390A">
        <w:rPr>
          <w:rStyle w:val="Hyperlink"/>
          <w:rFonts w:ascii="Times New Roman" w:hAnsi="Times New Roman" w:cs="Times New Roman"/>
          <w:sz w:val="20"/>
          <w:szCs w:val="20"/>
        </w:rPr>
        <w:t>registry.ge@undp.org</w:t>
      </w:r>
    </w:hyperlink>
    <w:r>
      <w:rPr>
        <w:rFonts w:ascii="Sylfaen" w:hAnsi="Sylfaen"/>
      </w:rPr>
      <w:t xml:space="preserve"> </w:t>
    </w:r>
  </w:p>
  <w:p w:rsidR="008A0A2A" w:rsidRDefault="00853A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AD6" w:rsidRDefault="00853AD6" w:rsidP="00394EBF">
      <w:pPr>
        <w:spacing w:after="0" w:line="240" w:lineRule="auto"/>
      </w:pPr>
      <w:r>
        <w:separator/>
      </w:r>
    </w:p>
  </w:footnote>
  <w:footnote w:type="continuationSeparator" w:id="0">
    <w:p w:rsidR="00853AD6" w:rsidRDefault="00853AD6" w:rsidP="00394EBF">
      <w:pPr>
        <w:spacing w:after="0" w:line="240" w:lineRule="auto"/>
      </w:pPr>
      <w:r>
        <w:continuationSeparator/>
      </w:r>
    </w:p>
  </w:footnote>
  <w:footnote w:id="1">
    <w:p w:rsidR="00394EBF" w:rsidRDefault="00394EBF" w:rsidP="00394EBF">
      <w:pPr>
        <w:pStyle w:val="FootnoteText"/>
      </w:pPr>
      <w:r>
        <w:rPr>
          <w:rStyle w:val="FootnoteReference"/>
        </w:rPr>
        <w:footnoteRef/>
      </w:r>
      <w:r>
        <w:t xml:space="preserve"> Guiding Principles on Internal Displacement, available at: </w:t>
      </w:r>
      <w:hyperlink r:id="rId1" w:history="1">
        <w:r w:rsidRPr="003A2234">
          <w:rPr>
            <w:rStyle w:val="Hyperlink"/>
          </w:rPr>
          <w:t>https://www.unhcr.org/protection/idps/43ce1cff2/guiding-principles-internal-displacement.html</w:t>
        </w:r>
      </w:hyperlink>
      <w:r>
        <w:t xml:space="preserve"> </w:t>
      </w:r>
    </w:p>
  </w:footnote>
  <w:footnote w:id="2">
    <w:p w:rsidR="00394EBF" w:rsidRDefault="00394EBF" w:rsidP="00394EBF">
      <w:pPr>
        <w:pStyle w:val="FootnoteText"/>
      </w:pPr>
      <w:r>
        <w:rPr>
          <w:rStyle w:val="FootnoteReference"/>
        </w:rPr>
        <w:footnoteRef/>
      </w:r>
      <w:r>
        <w:t xml:space="preserve"> Global Report on Internal Displacement, GRID 2018, p.1, available at: </w:t>
      </w:r>
      <w:hyperlink r:id="rId2" w:history="1">
        <w:r w:rsidRPr="003A2234">
          <w:rPr>
            <w:rStyle w:val="Hyperlink"/>
          </w:rPr>
          <w:t>http://www.internal-displacement.org/global-report/grid2018/downloads/2018-GRID.pdf</w:t>
        </w:r>
      </w:hyperlink>
      <w:r>
        <w:t xml:space="preserve"> </w:t>
      </w:r>
    </w:p>
  </w:footnote>
  <w:footnote w:id="3">
    <w:p w:rsidR="00394EBF" w:rsidRDefault="00394EBF" w:rsidP="00394EBF">
      <w:pPr>
        <w:pStyle w:val="FootnoteText"/>
      </w:pPr>
      <w:r>
        <w:rPr>
          <w:rStyle w:val="FootnoteReference"/>
        </w:rPr>
        <w:footnoteRef/>
      </w:r>
      <w:r>
        <w:t xml:space="preserve"> 20</w:t>
      </w:r>
      <w:r w:rsidRPr="00C47412">
        <w:rPr>
          <w:vertAlign w:val="superscript"/>
        </w:rPr>
        <w:t>th</w:t>
      </w:r>
      <w:r>
        <w:t xml:space="preserve"> Anniversary of the Guiding Principles on Internal Displacement: A plan of Action for Advancing Prevention, Protection and Solutions for Internally Displaced Persons 2018-2020, 23 May 2018,</w:t>
      </w:r>
      <w:r w:rsidRPr="00C47412">
        <w:t xml:space="preserve"> </w:t>
      </w:r>
      <w:r>
        <w:t xml:space="preserve">available at: </w:t>
      </w:r>
      <w:hyperlink r:id="rId3" w:history="1">
        <w:r w:rsidRPr="003A2234">
          <w:rPr>
            <w:rStyle w:val="Hyperlink"/>
          </w:rPr>
          <w:t>http://www.globalprotectioncluster.org/_assets/files/20180523-gp20-plan-of-action-final.pdf</w:t>
        </w:r>
      </w:hyperlink>
      <w:r>
        <w:t xml:space="preserve"> </w:t>
      </w:r>
    </w:p>
  </w:footnote>
  <w:footnote w:id="4">
    <w:p w:rsidR="00394EBF" w:rsidRDefault="00394EBF" w:rsidP="00394EBF">
      <w:pPr>
        <w:pStyle w:val="FootnoteText"/>
      </w:pPr>
      <w:r>
        <w:rPr>
          <w:rStyle w:val="FootnoteReference"/>
        </w:rPr>
        <w:footnoteRef/>
      </w:r>
      <w:r>
        <w:t xml:space="preserve"> Statistical data provided by </w:t>
      </w:r>
      <w:proofErr w:type="spellStart"/>
      <w:r>
        <w:t>MoH</w:t>
      </w:r>
      <w:proofErr w:type="spellEnd"/>
      <w:r>
        <w:t xml:space="preserve">. </w:t>
      </w:r>
    </w:p>
  </w:footnote>
  <w:footnote w:id="5">
    <w:p w:rsidR="00394EBF" w:rsidRDefault="00394EBF" w:rsidP="00394EBF">
      <w:pPr>
        <w:pStyle w:val="FootnoteText"/>
      </w:pPr>
      <w:r>
        <w:rPr>
          <w:rStyle w:val="FootnoteReference"/>
        </w:rPr>
        <w:footnoteRef/>
      </w:r>
      <w:r>
        <w:t xml:space="preserve"> Report of the Special Rapporteur on the human rights of internally displaced persons on his mission to Georgia, available at: </w:t>
      </w:r>
      <w:hyperlink r:id="rId4" w:history="1">
        <w:r w:rsidRPr="003A2234">
          <w:rPr>
            <w:rStyle w:val="Hyperlink"/>
          </w:rPr>
          <w:t>https://reliefweb.int/sites/reliefweb.int/files/resources/G1708324.pdf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642" w:rsidRPr="008A0A2A" w:rsidRDefault="00853AD6">
    <w:pPr>
      <w:pStyle w:val="Header"/>
      <w:rPr>
        <w:sz w:val="8"/>
        <w:szCs w:val="8"/>
      </w:rPr>
    </w:pPr>
  </w:p>
  <w:p w:rsidR="000E6642" w:rsidRDefault="00853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C54B5"/>
    <w:multiLevelType w:val="hybridMultilevel"/>
    <w:tmpl w:val="BCC8F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BF"/>
    <w:rsid w:val="001128D5"/>
    <w:rsid w:val="00394EBF"/>
    <w:rsid w:val="00501371"/>
    <w:rsid w:val="005C79A6"/>
    <w:rsid w:val="00853AD6"/>
    <w:rsid w:val="008C3B16"/>
    <w:rsid w:val="00BA3391"/>
    <w:rsid w:val="00CA5310"/>
    <w:rsid w:val="00DF1B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16AA4A-C6A6-47F8-B36B-0C3590C9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EBF"/>
  </w:style>
  <w:style w:type="paragraph" w:styleId="Footer">
    <w:name w:val="footer"/>
    <w:basedOn w:val="Normal"/>
    <w:link w:val="FooterChar"/>
    <w:uiPriority w:val="99"/>
    <w:unhideWhenUsed/>
    <w:rsid w:val="00394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EBF"/>
  </w:style>
  <w:style w:type="paragraph" w:styleId="FootnoteText">
    <w:name w:val="footnote text"/>
    <w:basedOn w:val="Normal"/>
    <w:link w:val="FootnoteTextChar"/>
    <w:uiPriority w:val="99"/>
    <w:semiHidden/>
    <w:unhideWhenUsed/>
    <w:rsid w:val="00394E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EBF"/>
    <w:rPr>
      <w:sz w:val="20"/>
      <w:szCs w:val="20"/>
    </w:rPr>
  </w:style>
  <w:style w:type="table" w:styleId="TableGrid">
    <w:name w:val="Table Grid"/>
    <w:basedOn w:val="TableNormal"/>
    <w:rsid w:val="00394EB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EBF"/>
    <w:rPr>
      <w:color w:val="0563C1" w:themeColor="hyperlink"/>
      <w:u w:val="single"/>
    </w:rPr>
  </w:style>
  <w:style w:type="character" w:styleId="FootnoteReference">
    <w:name w:val="footnote reference"/>
    <w:uiPriority w:val="99"/>
    <w:rsid w:val="00394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gistry.ge@und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lobalprotectioncluster.org/_assets/files/20180523-gp20-plan-of-action-final.pdf" TargetMode="External"/><Relationship Id="rId2" Type="http://schemas.openxmlformats.org/officeDocument/2006/relationships/hyperlink" Target="http://www.internal-displacement.org/global-report/grid2018/downloads/2018-GRID.pdf" TargetMode="External"/><Relationship Id="rId1" Type="http://schemas.openxmlformats.org/officeDocument/2006/relationships/hyperlink" Target="https://www.unhcr.org/protection/idps/43ce1cff2/guiding-principles-internal-displacement.html" TargetMode="External"/><Relationship Id="rId4" Type="http://schemas.openxmlformats.org/officeDocument/2006/relationships/hyperlink" Target="https://reliefweb.int/sites/reliefweb.int/files/resources/G1708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1018</Words>
  <Characters>5807</Characters>
  <Application>Microsoft Office Word</Application>
  <DocSecurity>0</DocSecurity>
  <Lines>48</Lines>
  <Paragraphs>13</Paragraphs>
  <ScaleCrop>false</ScaleCrop>
  <Company>UNHCR</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Kusikashvili</dc:creator>
  <cp:keywords/>
  <dc:description/>
  <cp:lastModifiedBy>Salome Kusikashvili</cp:lastModifiedBy>
  <cp:revision>4</cp:revision>
  <dcterms:created xsi:type="dcterms:W3CDTF">2019-03-06T09:51:00Z</dcterms:created>
  <dcterms:modified xsi:type="dcterms:W3CDTF">2019-05-29T09:57:00Z</dcterms:modified>
</cp:coreProperties>
</file>